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358"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UVOD</w:t>
      </w:r>
    </w:p>
    <w:p w:rsidR="004660B5" w:rsidRDefault="004660B5" w:rsidP="004660B5">
      <w:pPr>
        <w:widowControl w:val="0"/>
        <w:autoSpaceDE w:val="0"/>
        <w:autoSpaceDN w:val="0"/>
        <w:adjustRightInd w:val="0"/>
        <w:spacing w:after="0" w:line="298" w:lineRule="exact"/>
        <w:rPr>
          <w:rFonts w:ascii="Times New Roman" w:hAnsi="Times New Roman" w:cs="Times New Roman"/>
          <w:sz w:val="24"/>
          <w:szCs w:val="24"/>
        </w:rPr>
      </w:pPr>
    </w:p>
    <w:p w:rsidR="004660B5" w:rsidRDefault="004660B5" w:rsidP="004660B5">
      <w:pPr>
        <w:widowControl w:val="0"/>
        <w:overflowPunct w:val="0"/>
        <w:autoSpaceDE w:val="0"/>
        <w:autoSpaceDN w:val="0"/>
        <w:adjustRightInd w:val="0"/>
        <w:spacing w:after="0" w:line="350" w:lineRule="auto"/>
        <w:ind w:firstLine="720"/>
        <w:jc w:val="both"/>
        <w:rPr>
          <w:rFonts w:ascii="Times New Roman" w:hAnsi="Times New Roman" w:cs="Times New Roman"/>
          <w:sz w:val="24"/>
          <w:szCs w:val="24"/>
        </w:rPr>
      </w:pPr>
      <w:r>
        <w:rPr>
          <w:rFonts w:ascii="Times New Roman" w:hAnsi="Times New Roman" w:cs="Times New Roman"/>
          <w:sz w:val="24"/>
          <w:szCs w:val="24"/>
        </w:rPr>
        <w:t>Transmisivni venerični tumor (TVT), takođe poznat i kao transmisivni venerični sarkom i Stikerov sarkom je horizontalno prenosiv tumor pasa koji može da se javi i kod drugih kanida (lisica, šakal, kojot). Ranije je nazivan i venerični granulom, pseći kondilom, zarazni limfom ili infektivni sarkom. TVT je svetski rasprostranjen tumor s tim što veću prevalencu pojavljivanja ima u umerenim klimatskim predelima i enzootskim oblastima uključujući južni deo SAD, centralnu i južnu Ameriku, određene delove Afrike, daleki Istok, bliski Istok i jugoistočnu</w:t>
      </w:r>
    </w:p>
    <w:p w:rsidR="004660B5" w:rsidRDefault="004660B5" w:rsidP="004660B5">
      <w:pPr>
        <w:widowControl w:val="0"/>
        <w:autoSpaceDE w:val="0"/>
        <w:autoSpaceDN w:val="0"/>
        <w:adjustRightInd w:val="0"/>
        <w:spacing w:after="0" w:line="70" w:lineRule="exact"/>
        <w:rPr>
          <w:rFonts w:ascii="Times New Roman" w:hAnsi="Times New Roman" w:cs="Times New Roman"/>
          <w:sz w:val="24"/>
          <w:szCs w:val="24"/>
        </w:rPr>
      </w:pPr>
    </w:p>
    <w:p w:rsidR="004660B5" w:rsidRDefault="004660B5" w:rsidP="004660B5">
      <w:pPr>
        <w:widowControl w:val="0"/>
        <w:overflowPunct w:val="0"/>
        <w:autoSpaceDE w:val="0"/>
        <w:autoSpaceDN w:val="0"/>
        <w:adjustRightInd w:val="0"/>
        <w:spacing w:after="0" w:line="343" w:lineRule="auto"/>
        <w:jc w:val="both"/>
        <w:rPr>
          <w:rFonts w:ascii="Times New Roman" w:hAnsi="Times New Roman" w:cs="Times New Roman"/>
          <w:sz w:val="24"/>
          <w:szCs w:val="24"/>
        </w:rPr>
      </w:pPr>
      <w:r>
        <w:rPr>
          <w:rFonts w:ascii="Times New Roman" w:hAnsi="Times New Roman" w:cs="Times New Roman"/>
          <w:sz w:val="24"/>
          <w:szCs w:val="24"/>
        </w:rPr>
        <w:t>Evropu (Thamm, 2007). U nekim regionima gde postoji nekontrolisano razmnožavanje pasa i gde je velika koncentracija pasa lutalica, TVT je bio daleko najčešći tumor kod pasa. U pozitivnoj korelaciji sa prevalencom pojavljivanja tumora su i povećana vlažnost i temperature vazduha.</w:t>
      </w:r>
    </w:p>
    <w:p w:rsidR="004660B5" w:rsidRDefault="004660B5" w:rsidP="004660B5">
      <w:pPr>
        <w:widowControl w:val="0"/>
        <w:autoSpaceDE w:val="0"/>
        <w:autoSpaceDN w:val="0"/>
        <w:adjustRightInd w:val="0"/>
        <w:spacing w:after="0" w:line="278" w:lineRule="exact"/>
        <w:rPr>
          <w:rFonts w:ascii="Times New Roman" w:hAnsi="Times New Roman" w:cs="Times New Roman"/>
          <w:sz w:val="24"/>
          <w:szCs w:val="24"/>
        </w:rPr>
      </w:pPr>
    </w:p>
    <w:p w:rsidR="004660B5" w:rsidRDefault="004660B5" w:rsidP="004660B5">
      <w:pPr>
        <w:widowControl w:val="0"/>
        <w:overflowPunct w:val="0"/>
        <w:autoSpaceDE w:val="0"/>
        <w:autoSpaceDN w:val="0"/>
        <w:adjustRightInd w:val="0"/>
        <w:spacing w:after="0" w:line="334" w:lineRule="auto"/>
        <w:ind w:firstLine="720"/>
        <w:jc w:val="both"/>
        <w:rPr>
          <w:rFonts w:ascii="Times New Roman" w:hAnsi="Times New Roman" w:cs="Times New Roman"/>
          <w:sz w:val="24"/>
          <w:szCs w:val="24"/>
        </w:rPr>
      </w:pPr>
      <w:r>
        <w:rPr>
          <w:rFonts w:ascii="Times New Roman" w:hAnsi="Times New Roman" w:cs="Times New Roman"/>
          <w:sz w:val="24"/>
          <w:szCs w:val="24"/>
        </w:rPr>
        <w:t>Koitus predstavlja klasičan način prenošenja tumora među psima. Rasna predisponiranost za nastanak tumora nije zapažena, a najveći broj obolelih pasa je zapažen među mešancima. Najčešće mesto pojavljivanja su spoljašnje genitalije, ali mogu se naći i na drugim mestima kao</w:t>
      </w:r>
    </w:p>
    <w:p w:rsidR="004660B5" w:rsidRDefault="004660B5" w:rsidP="004660B5">
      <w:pPr>
        <w:widowControl w:val="0"/>
        <w:autoSpaceDE w:val="0"/>
        <w:autoSpaceDN w:val="0"/>
        <w:adjustRightInd w:val="0"/>
        <w:spacing w:after="0" w:line="91" w:lineRule="exact"/>
        <w:rPr>
          <w:rFonts w:ascii="Times New Roman" w:hAnsi="Times New Roman" w:cs="Times New Roman"/>
          <w:sz w:val="24"/>
          <w:szCs w:val="24"/>
        </w:rPr>
      </w:pPr>
    </w:p>
    <w:p w:rsidR="004660B5" w:rsidRDefault="004660B5" w:rsidP="004660B5">
      <w:pPr>
        <w:widowControl w:val="0"/>
        <w:overflowPunct w:val="0"/>
        <w:autoSpaceDE w:val="0"/>
        <w:autoSpaceDN w:val="0"/>
        <w:adjustRightInd w:val="0"/>
        <w:spacing w:after="0" w:line="347" w:lineRule="auto"/>
        <w:jc w:val="both"/>
        <w:rPr>
          <w:rFonts w:ascii="Times New Roman" w:hAnsi="Times New Roman" w:cs="Times New Roman"/>
          <w:sz w:val="24"/>
          <w:szCs w:val="24"/>
        </w:rPr>
      </w:pPr>
      <w:r>
        <w:rPr>
          <w:rFonts w:ascii="Times New Roman" w:hAnsi="Times New Roman" w:cs="Times New Roman"/>
          <w:sz w:val="24"/>
          <w:szCs w:val="24"/>
        </w:rPr>
        <w:t>što su oralna i nazalna šuplina, subkutana tkiva i oči. Transmisivni venerični tumor pasa (CTVT) i neoplastična bolest lica tasmanijskog đavola (DFTD) jedina su dva poznata prirodno klonski transmisivna tumora. Ovi kanceri se šire fizičkim prenošenjem tumorskih ćelija na drugog domaćina, putem transplatacije, odnosno prevazilaženjem barijere histokompatibilnosti. Uprkos njihovoj zajedničkoj etiologiji, CTVT i DFTD imaju posebne razvojne i adaptacione mehanizme</w:t>
      </w:r>
    </w:p>
    <w:p w:rsidR="004660B5" w:rsidRDefault="004660B5" w:rsidP="004660B5">
      <w:pPr>
        <w:widowControl w:val="0"/>
        <w:autoSpaceDE w:val="0"/>
        <w:autoSpaceDN w:val="0"/>
        <w:adjustRightInd w:val="0"/>
        <w:spacing w:after="0" w:line="16"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(Aleksić - Kovačević, 2011.). Sumnja se na virusnu etiologiju nastanka tumora ali same virusne</w:t>
      </w:r>
    </w:p>
    <w:p w:rsidR="004660B5" w:rsidRDefault="004660B5" w:rsidP="004660B5">
      <w:pPr>
        <w:widowControl w:val="0"/>
        <w:autoSpaceDE w:val="0"/>
        <w:autoSpaceDN w:val="0"/>
        <w:adjustRightInd w:val="0"/>
        <w:spacing w:after="0" w:line="198" w:lineRule="exact"/>
        <w:rPr>
          <w:rFonts w:ascii="Times New Roman" w:hAnsi="Times New Roman" w:cs="Times New Roman"/>
          <w:sz w:val="24"/>
          <w:szCs w:val="24"/>
        </w:rPr>
      </w:pPr>
    </w:p>
    <w:p w:rsidR="004660B5" w:rsidRDefault="004660B5" w:rsidP="004660B5">
      <w:pPr>
        <w:widowControl w:val="0"/>
        <w:overflowPunct w:val="0"/>
        <w:autoSpaceDE w:val="0"/>
        <w:autoSpaceDN w:val="0"/>
        <w:adjustRightInd w:val="0"/>
        <w:spacing w:after="0" w:line="342" w:lineRule="auto"/>
        <w:jc w:val="both"/>
        <w:rPr>
          <w:rFonts w:ascii="Times New Roman" w:hAnsi="Times New Roman" w:cs="Times New Roman"/>
          <w:sz w:val="24"/>
          <w:szCs w:val="24"/>
        </w:rPr>
      </w:pPr>
      <w:r>
        <w:rPr>
          <w:rFonts w:ascii="Times New Roman" w:hAnsi="Times New Roman" w:cs="Times New Roman"/>
          <w:sz w:val="24"/>
          <w:szCs w:val="24"/>
        </w:rPr>
        <w:t xml:space="preserve">čestice nisu pronađene na elektronskoj mikroskopiji. Danas je poznato da ovaj tumor nastaje iz monocitno-makrofagne linije ćelije. Ovo je dokazano nalazom </w:t>
      </w:r>
      <w:r>
        <w:rPr>
          <w:rFonts w:ascii="Times New Roman" w:hAnsi="Times New Roman" w:cs="Times New Roman"/>
          <w:i/>
          <w:iCs/>
          <w:sz w:val="24"/>
          <w:szCs w:val="24"/>
        </w:rPr>
        <w:t>Leishmania infantum</w:t>
      </w:r>
      <w:r>
        <w:rPr>
          <w:rFonts w:ascii="Times New Roman" w:hAnsi="Times New Roman" w:cs="Times New Roman"/>
          <w:sz w:val="24"/>
          <w:szCs w:val="24"/>
        </w:rPr>
        <w:t xml:space="preserve"> u tumorskim ćelijama kod nekih pasa u geografskim područjima sa lajšmaniozom, jer je poznato da se ovaj uzročnik nalazi u makrofagima (Aleksić – Kovačević, 2011).</w:t>
      </w: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346" w:lineRule="exact"/>
        <w:rPr>
          <w:rFonts w:ascii="Times New Roman" w:hAnsi="Times New Roman" w:cs="Times New Roman"/>
          <w:sz w:val="24"/>
          <w:szCs w:val="24"/>
        </w:rPr>
      </w:pPr>
    </w:p>
    <w:p w:rsidR="00510555" w:rsidRDefault="00FE3D0F" w:rsidP="00510555">
      <w:pPr>
        <w:jc w:val="center"/>
        <w:rPr>
          <w:sz w:val="28"/>
          <w:szCs w:val="28"/>
        </w:rPr>
      </w:pPr>
      <w:hyperlink r:id="rId7" w:history="1">
        <w:r w:rsidR="00510555">
          <w:rPr>
            <w:rStyle w:val="Hyperlink"/>
            <w:sz w:val="28"/>
            <w:szCs w:val="28"/>
          </w:rPr>
          <w:t>www.</w:t>
        </w:r>
        <w:r w:rsidR="003C2D85">
          <w:rPr>
            <w:rStyle w:val="Hyperlink"/>
            <w:sz w:val="28"/>
            <w:szCs w:val="28"/>
          </w:rPr>
          <w:t>maturski.org</w:t>
        </w:r>
      </w:hyperlink>
    </w:p>
    <w:p w:rsidR="004660B5" w:rsidRDefault="004660B5" w:rsidP="004660B5">
      <w:pPr>
        <w:widowControl w:val="0"/>
        <w:autoSpaceDE w:val="0"/>
        <w:autoSpaceDN w:val="0"/>
        <w:adjustRightInd w:val="0"/>
        <w:spacing w:after="0" w:line="239" w:lineRule="auto"/>
        <w:ind w:left="9260"/>
        <w:rPr>
          <w:rFonts w:ascii="Times New Roman" w:hAnsi="Times New Roman" w:cs="Times New Roman"/>
          <w:sz w:val="24"/>
          <w:szCs w:val="24"/>
        </w:rPr>
      </w:pPr>
      <w:r>
        <w:rPr>
          <w:rFonts w:ascii="Calibri" w:hAnsi="Calibri" w:cs="Calibri"/>
          <w:sz w:val="19"/>
          <w:szCs w:val="19"/>
        </w:rPr>
        <w:t>1</w:t>
      </w:r>
    </w:p>
    <w:p w:rsidR="004660B5" w:rsidRDefault="004660B5" w:rsidP="004660B5">
      <w:pPr>
        <w:widowControl w:val="0"/>
        <w:autoSpaceDE w:val="0"/>
        <w:autoSpaceDN w:val="0"/>
        <w:adjustRightInd w:val="0"/>
        <w:spacing w:after="0" w:line="240" w:lineRule="auto"/>
        <w:rPr>
          <w:rFonts w:ascii="Times New Roman" w:hAnsi="Times New Roman" w:cs="Times New Roman"/>
          <w:sz w:val="24"/>
          <w:szCs w:val="24"/>
        </w:rPr>
        <w:sectPr w:rsidR="004660B5">
          <w:pgSz w:w="12240" w:h="15840"/>
          <w:pgMar w:top="1432" w:right="1440" w:bottom="1440" w:left="1440" w:header="720" w:footer="720" w:gutter="0"/>
          <w:cols w:space="720" w:equalWidth="0">
            <w:col w:w="9360"/>
          </w:cols>
          <w:noEndnote/>
        </w:sectPr>
      </w:pPr>
    </w:p>
    <w:p w:rsidR="004660B5" w:rsidRDefault="004660B5" w:rsidP="004660B5">
      <w:pPr>
        <w:widowControl w:val="0"/>
        <w:autoSpaceDE w:val="0"/>
        <w:autoSpaceDN w:val="0"/>
        <w:adjustRightInd w:val="0"/>
        <w:spacing w:after="0" w:line="51" w:lineRule="exact"/>
        <w:rPr>
          <w:rFonts w:ascii="Times New Roman" w:hAnsi="Times New Roman" w:cs="Times New Roman"/>
          <w:sz w:val="24"/>
          <w:szCs w:val="24"/>
        </w:rPr>
      </w:pPr>
      <w:bookmarkStart w:id="0" w:name="page2"/>
      <w:bookmarkEnd w:id="0"/>
    </w:p>
    <w:p w:rsidR="004660B5" w:rsidRDefault="004660B5" w:rsidP="004660B5">
      <w:pPr>
        <w:widowControl w:val="0"/>
        <w:overflowPunct w:val="0"/>
        <w:autoSpaceDE w:val="0"/>
        <w:autoSpaceDN w:val="0"/>
        <w:adjustRightInd w:val="0"/>
        <w:spacing w:after="0" w:line="308" w:lineRule="auto"/>
        <w:ind w:firstLine="720"/>
        <w:jc w:val="both"/>
        <w:rPr>
          <w:rFonts w:ascii="Times New Roman" w:hAnsi="Times New Roman" w:cs="Times New Roman"/>
          <w:sz w:val="24"/>
          <w:szCs w:val="24"/>
        </w:rPr>
      </w:pPr>
      <w:r>
        <w:rPr>
          <w:rFonts w:ascii="Times New Roman" w:hAnsi="Times New Roman" w:cs="Times New Roman"/>
          <w:sz w:val="24"/>
          <w:szCs w:val="24"/>
        </w:rPr>
        <w:t>U nastavku rada biće opisani klinički znaci, dijagnostika i dijagnostičke metode kao i terapija i prognoza ovog neoplastičnog oboljenja.</w:t>
      </w:r>
    </w:p>
    <w:p w:rsidR="004660B5" w:rsidRDefault="004660B5" w:rsidP="004660B5">
      <w:pPr>
        <w:widowControl w:val="0"/>
        <w:autoSpaceDE w:val="0"/>
        <w:autoSpaceDN w:val="0"/>
        <w:adjustRightInd w:val="0"/>
        <w:spacing w:after="0" w:line="261"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KLINIČKI ZNACI</w:t>
      </w:r>
    </w:p>
    <w:p w:rsidR="004660B5" w:rsidRDefault="004660B5" w:rsidP="004660B5">
      <w:pPr>
        <w:widowControl w:val="0"/>
        <w:autoSpaceDE w:val="0"/>
        <w:autoSpaceDN w:val="0"/>
        <w:adjustRightInd w:val="0"/>
        <w:spacing w:after="0" w:line="397" w:lineRule="exact"/>
        <w:rPr>
          <w:rFonts w:ascii="Times New Roman" w:hAnsi="Times New Roman" w:cs="Times New Roman"/>
          <w:sz w:val="24"/>
          <w:szCs w:val="24"/>
        </w:rPr>
      </w:pPr>
    </w:p>
    <w:p w:rsidR="004660B5" w:rsidRDefault="004660B5" w:rsidP="004660B5">
      <w:pPr>
        <w:widowControl w:val="0"/>
        <w:overflowPunct w:val="0"/>
        <w:autoSpaceDE w:val="0"/>
        <w:autoSpaceDN w:val="0"/>
        <w:adjustRightInd w:val="0"/>
        <w:spacing w:after="0" w:line="347" w:lineRule="auto"/>
        <w:ind w:firstLine="720"/>
        <w:jc w:val="both"/>
        <w:rPr>
          <w:rFonts w:ascii="Times New Roman" w:hAnsi="Times New Roman" w:cs="Times New Roman"/>
          <w:sz w:val="24"/>
          <w:szCs w:val="24"/>
        </w:rPr>
      </w:pPr>
      <w:r>
        <w:rPr>
          <w:rFonts w:ascii="Times New Roman" w:hAnsi="Times New Roman" w:cs="Times New Roman"/>
          <w:sz w:val="24"/>
          <w:szCs w:val="24"/>
        </w:rPr>
        <w:t>Spoljašnje genitalije su najčešće primarna lokacija kod prirodno stečenih veneričnih tumora. Oboleli psi pre same dijagnoze pokazuju znake hronične nelagodnosti uz krvavi iscedak iz vulve ili prepucijuma. Kod ženki, tumor je najčešće lokalizovan u kaudalnom delu vagine ili u vestibulimu vagine. (Slika 1.) Kod mužjaka tumor je lokalizovan na bazi glansa penisa i zahteva kaudalnu retrakciju prepucijuma radi vizuelizacije (Slika 2.) (Thamm, 2007).</w:t>
      </w: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column">
              <wp:posOffset>19050</wp:posOffset>
            </wp:positionH>
            <wp:positionV relativeFrom="paragraph">
              <wp:posOffset>532765</wp:posOffset>
            </wp:positionV>
            <wp:extent cx="5867400" cy="227457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867400" cy="2274570"/>
                    </a:xfrm>
                    <a:prstGeom prst="rect">
                      <a:avLst/>
                    </a:prstGeom>
                    <a:noFill/>
                  </pic:spPr>
                </pic:pic>
              </a:graphicData>
            </a:graphic>
          </wp:anchor>
        </w:drawing>
      </w: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352" w:lineRule="exact"/>
        <w:rPr>
          <w:rFonts w:ascii="Times New Roman" w:hAnsi="Times New Roman" w:cs="Times New Roman"/>
          <w:sz w:val="24"/>
          <w:szCs w:val="24"/>
        </w:rPr>
      </w:pPr>
    </w:p>
    <w:p w:rsidR="004660B5" w:rsidRDefault="004660B5" w:rsidP="004660B5">
      <w:pPr>
        <w:widowControl w:val="0"/>
        <w:tabs>
          <w:tab w:val="left" w:pos="556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Slika </w:t>
      </w:r>
      <w:r>
        <w:rPr>
          <w:rFonts w:ascii="Times New Roman" w:hAnsi="Times New Roman" w:cs="Times New Roman"/>
          <w:sz w:val="19"/>
          <w:szCs w:val="19"/>
        </w:rPr>
        <w:t>1: Lokalizacija TVT-a kod ženke</w:t>
      </w:r>
      <w:r>
        <w:rPr>
          <w:rFonts w:ascii="Times New Roman" w:hAnsi="Times New Roman" w:cs="Times New Roman"/>
          <w:sz w:val="24"/>
          <w:szCs w:val="24"/>
        </w:rPr>
        <w:tab/>
      </w:r>
      <w:r>
        <w:rPr>
          <w:rFonts w:ascii="Times New Roman" w:hAnsi="Times New Roman" w:cs="Times New Roman"/>
          <w:sz w:val="19"/>
          <w:szCs w:val="19"/>
        </w:rPr>
        <w:t>Slika 2: Lokalizacija TVT-a kod mužjaka</w:t>
      </w: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11" w:lineRule="exact"/>
        <w:rPr>
          <w:rFonts w:ascii="Times New Roman" w:hAnsi="Times New Roman" w:cs="Times New Roman"/>
          <w:sz w:val="24"/>
          <w:szCs w:val="24"/>
        </w:rPr>
      </w:pPr>
    </w:p>
    <w:p w:rsidR="004660B5" w:rsidRDefault="004660B5" w:rsidP="004660B5">
      <w:pPr>
        <w:widowControl w:val="0"/>
        <w:overflowPunct w:val="0"/>
        <w:autoSpaceDE w:val="0"/>
        <w:autoSpaceDN w:val="0"/>
        <w:adjustRightInd w:val="0"/>
        <w:spacing w:after="0" w:line="349" w:lineRule="auto"/>
        <w:jc w:val="both"/>
        <w:rPr>
          <w:rFonts w:ascii="Times New Roman" w:hAnsi="Times New Roman" w:cs="Times New Roman"/>
          <w:sz w:val="24"/>
          <w:szCs w:val="24"/>
        </w:rPr>
      </w:pPr>
      <w:r>
        <w:rPr>
          <w:rFonts w:ascii="Times New Roman" w:hAnsi="Times New Roman" w:cs="Times New Roman"/>
          <w:sz w:val="24"/>
          <w:szCs w:val="24"/>
        </w:rPr>
        <w:t>Transmisivni venerični tumor je dobro vaskularisan a morfološki se karakteriše karfiolastim izgledom i trošnom konzistencijom. Nezavisno od primarne lokalizacije zajednička klinička slika za sve TVT tumore je hemoragičan ili serohemoragičan eksudat sa mesta lokalizacije. Kod pasa sa nazalnim TVT-om je prisutna epistaksa i kijanje, a ponekad može da se javi i deformitet lica. Transmisivni venerični tumor se takođe može pojaviti i na sekundarnim mestima kao što su koža i subkutis, oralna šupljina, oči i predeo anusa (Slike 3. i 4.) ( Thamm, 2007).</w:t>
      </w: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336" w:lineRule="exact"/>
        <w:rPr>
          <w:rFonts w:ascii="Times New Roman" w:hAnsi="Times New Roman" w:cs="Times New Roman"/>
          <w:sz w:val="24"/>
          <w:szCs w:val="24"/>
        </w:rPr>
      </w:pPr>
    </w:p>
    <w:p w:rsidR="004660B5" w:rsidRDefault="004660B5" w:rsidP="004660B5">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w:t>
      </w:r>
    </w:p>
    <w:p w:rsidR="004660B5" w:rsidRDefault="004660B5" w:rsidP="004660B5">
      <w:pPr>
        <w:widowControl w:val="0"/>
        <w:autoSpaceDE w:val="0"/>
        <w:autoSpaceDN w:val="0"/>
        <w:adjustRightInd w:val="0"/>
        <w:spacing w:after="0" w:line="240" w:lineRule="auto"/>
        <w:rPr>
          <w:rFonts w:ascii="Times New Roman" w:hAnsi="Times New Roman" w:cs="Times New Roman"/>
          <w:sz w:val="24"/>
          <w:szCs w:val="24"/>
        </w:rPr>
        <w:sectPr w:rsidR="004660B5">
          <w:pgSz w:w="12240" w:h="15840"/>
          <w:pgMar w:top="1440" w:right="1440" w:bottom="1440" w:left="1440" w:header="720" w:footer="720" w:gutter="0"/>
          <w:cols w:space="720" w:equalWidth="0">
            <w:col w:w="9360"/>
          </w:cols>
          <w:noEndnote/>
        </w:sect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bookmarkStart w:id="1" w:name="page3"/>
      <w:bookmarkEnd w:id="1"/>
      <w:r>
        <w:rPr>
          <w:noProof/>
        </w:rPr>
        <w:lastRenderedPageBreak/>
        <w:drawing>
          <wp:anchor distT="0" distB="0" distL="114300" distR="114300" simplePos="0" relativeHeight="251661312" behindDoc="1" locked="0" layoutInCell="0" allowOverlap="1">
            <wp:simplePos x="0" y="0"/>
            <wp:positionH relativeFrom="page">
              <wp:posOffset>1047750</wp:posOffset>
            </wp:positionH>
            <wp:positionV relativeFrom="page">
              <wp:posOffset>2084070</wp:posOffset>
            </wp:positionV>
            <wp:extent cx="5568950" cy="178562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568950" cy="1785620"/>
                    </a:xfrm>
                    <a:prstGeom prst="rect">
                      <a:avLst/>
                    </a:prstGeom>
                    <a:noFill/>
                  </pic:spPr>
                </pic:pic>
              </a:graphicData>
            </a:graphic>
          </wp:anchor>
        </w:drawing>
      </w: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380" w:lineRule="exact"/>
        <w:rPr>
          <w:rFonts w:ascii="Times New Roman" w:hAnsi="Times New Roman" w:cs="Times New Roman"/>
          <w:sz w:val="24"/>
          <w:szCs w:val="24"/>
        </w:rPr>
      </w:pPr>
    </w:p>
    <w:p w:rsidR="004660B5" w:rsidRDefault="004660B5" w:rsidP="004660B5">
      <w:pPr>
        <w:widowControl w:val="0"/>
        <w:tabs>
          <w:tab w:val="left" w:pos="5660"/>
        </w:tabs>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0"/>
          <w:szCs w:val="20"/>
        </w:rPr>
        <w:t>Slika 3: TVT sa metastazama na koži</w:t>
      </w:r>
      <w:r>
        <w:rPr>
          <w:rFonts w:ascii="Times New Roman" w:hAnsi="Times New Roman" w:cs="Times New Roman"/>
          <w:sz w:val="24"/>
          <w:szCs w:val="24"/>
        </w:rPr>
        <w:tab/>
      </w:r>
      <w:r>
        <w:rPr>
          <w:rFonts w:ascii="Times New Roman" w:hAnsi="Times New Roman" w:cs="Times New Roman"/>
          <w:sz w:val="19"/>
          <w:szCs w:val="19"/>
        </w:rPr>
        <w:t>Slika 4: TVT sa lokalizacijom u oku</w:t>
      </w: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58"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Opisani  su  slučajevi  metastaziranja  TVT-a  na  adenohipofizu,  regionalne  i  lokalne  limfne</w:t>
      </w:r>
    </w:p>
    <w:p w:rsidR="004660B5" w:rsidRDefault="004660B5" w:rsidP="004660B5">
      <w:pPr>
        <w:widowControl w:val="0"/>
        <w:autoSpaceDE w:val="0"/>
        <w:autoSpaceDN w:val="0"/>
        <w:adjustRightInd w:val="0"/>
        <w:spacing w:after="0" w:line="197" w:lineRule="exact"/>
        <w:rPr>
          <w:rFonts w:ascii="Times New Roman" w:hAnsi="Times New Roman" w:cs="Times New Roman"/>
          <w:sz w:val="24"/>
          <w:szCs w:val="24"/>
        </w:rPr>
      </w:pPr>
    </w:p>
    <w:p w:rsidR="004660B5" w:rsidRDefault="004660B5" w:rsidP="004660B5">
      <w:pPr>
        <w:widowControl w:val="0"/>
        <w:overflowPunct w:val="0"/>
        <w:autoSpaceDE w:val="0"/>
        <w:autoSpaceDN w:val="0"/>
        <w:adjustRightInd w:val="0"/>
        <w:spacing w:after="0" w:line="342" w:lineRule="auto"/>
        <w:jc w:val="both"/>
        <w:rPr>
          <w:rFonts w:ascii="Times New Roman" w:hAnsi="Times New Roman" w:cs="Times New Roman"/>
          <w:sz w:val="24"/>
          <w:szCs w:val="24"/>
        </w:rPr>
      </w:pPr>
      <w:r>
        <w:rPr>
          <w:rFonts w:ascii="Times New Roman" w:hAnsi="Times New Roman" w:cs="Times New Roman"/>
          <w:sz w:val="24"/>
          <w:szCs w:val="24"/>
        </w:rPr>
        <w:t>čvorove, bubrege, jetru i slezinu (Manning i Martin, 1970). Uprkos brzom rastu ovog tumora metastaze su veoma retke (5%) (Aleksić – Kovačević, 2011).Kao komplikacija, kod lokalizacije tumora na genitalnim organima mužjaka i ženki, može da se javi i retencija urina sa ascedentnom infekcijom urinarnog trakta.</w:t>
      </w: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39"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DIJAGNOSTIKA I DIJAGNOSTIČKE METODE</w:t>
      </w:r>
    </w:p>
    <w:p w:rsidR="004660B5" w:rsidRDefault="004660B5" w:rsidP="004660B5">
      <w:pPr>
        <w:widowControl w:val="0"/>
        <w:autoSpaceDE w:val="0"/>
        <w:autoSpaceDN w:val="0"/>
        <w:adjustRightInd w:val="0"/>
        <w:spacing w:after="0" w:line="397" w:lineRule="exact"/>
        <w:rPr>
          <w:rFonts w:ascii="Times New Roman" w:hAnsi="Times New Roman" w:cs="Times New Roman"/>
          <w:sz w:val="24"/>
          <w:szCs w:val="24"/>
        </w:rPr>
      </w:pPr>
    </w:p>
    <w:p w:rsidR="004660B5" w:rsidRDefault="004660B5" w:rsidP="004660B5">
      <w:pPr>
        <w:widowControl w:val="0"/>
        <w:overflowPunct w:val="0"/>
        <w:autoSpaceDE w:val="0"/>
        <w:autoSpaceDN w:val="0"/>
        <w:adjustRightInd w:val="0"/>
        <w:spacing w:after="0" w:line="351" w:lineRule="auto"/>
        <w:ind w:firstLine="720"/>
        <w:jc w:val="both"/>
        <w:rPr>
          <w:rFonts w:ascii="Times New Roman" w:hAnsi="Times New Roman" w:cs="Times New Roman"/>
          <w:sz w:val="24"/>
          <w:szCs w:val="24"/>
        </w:rPr>
      </w:pPr>
      <w:r>
        <w:rPr>
          <w:rFonts w:ascii="Times New Roman" w:hAnsi="Times New Roman" w:cs="Times New Roman"/>
          <w:sz w:val="24"/>
          <w:szCs w:val="24"/>
        </w:rPr>
        <w:t>Za tačnu dijagnozu TVT-a su obično dovoljni epizootiološki podaci, anamneza i klinička slika sa nalazom karakterističnih tumoroznih izraslina u predelu penisa ili vagine psa. Za preciznu dijagnozu koriste se citološke i histopatološke metode pregleda promenjenog dela tkiva. Citološkom analizom se zapaža karakterističan izgled tumorskih ćelija koji podrazumeva: okruglast do ovalan oblik ćelija (round cell tumor), bledo plave citoplazme sa ekscentrično postavljenim jedrima, povremeno mogu da se nađu binuklearne ćelije i mitotičke figure, a jedarca se po nekad viđaju okružena hromatinom. (Slike 5. i 6.) Karakterističnim za ovaj tumor</w:t>
      </w:r>
    </w:p>
    <w:p w:rsidR="004660B5" w:rsidRDefault="004660B5" w:rsidP="004660B5">
      <w:pPr>
        <w:widowControl w:val="0"/>
        <w:autoSpaceDE w:val="0"/>
        <w:autoSpaceDN w:val="0"/>
        <w:adjustRightInd w:val="0"/>
        <w:spacing w:after="0" w:line="220" w:lineRule="exact"/>
        <w:rPr>
          <w:rFonts w:ascii="Times New Roman" w:hAnsi="Times New Roman" w:cs="Times New Roman"/>
          <w:sz w:val="24"/>
          <w:szCs w:val="24"/>
        </w:rPr>
      </w:pPr>
    </w:p>
    <w:p w:rsidR="004660B5" w:rsidRDefault="004660B5" w:rsidP="004660B5">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3</w:t>
      </w:r>
    </w:p>
    <w:p w:rsidR="004660B5" w:rsidRDefault="004660B5" w:rsidP="004660B5">
      <w:pPr>
        <w:widowControl w:val="0"/>
        <w:autoSpaceDE w:val="0"/>
        <w:autoSpaceDN w:val="0"/>
        <w:adjustRightInd w:val="0"/>
        <w:spacing w:after="0" w:line="240" w:lineRule="auto"/>
        <w:rPr>
          <w:rFonts w:ascii="Times New Roman" w:hAnsi="Times New Roman" w:cs="Times New Roman"/>
          <w:sz w:val="24"/>
          <w:szCs w:val="24"/>
        </w:rPr>
        <w:sectPr w:rsidR="004660B5">
          <w:pgSz w:w="12240" w:h="15840"/>
          <w:pgMar w:top="1440" w:right="1440" w:bottom="1440" w:left="1440" w:header="720" w:footer="720" w:gutter="0"/>
          <w:cols w:space="720" w:equalWidth="0">
            <w:col w:w="9360"/>
          </w:cols>
          <w:noEndnote/>
        </w:sectPr>
      </w:pPr>
    </w:p>
    <w:p w:rsidR="004660B5" w:rsidRDefault="004660B5" w:rsidP="004660B5">
      <w:pPr>
        <w:widowControl w:val="0"/>
        <w:autoSpaceDE w:val="0"/>
        <w:autoSpaceDN w:val="0"/>
        <w:adjustRightInd w:val="0"/>
        <w:spacing w:after="0" w:line="51" w:lineRule="exact"/>
        <w:rPr>
          <w:rFonts w:ascii="Times New Roman" w:hAnsi="Times New Roman" w:cs="Times New Roman"/>
          <w:sz w:val="24"/>
          <w:szCs w:val="24"/>
        </w:rPr>
      </w:pPr>
      <w:bookmarkStart w:id="2" w:name="page4"/>
      <w:bookmarkEnd w:id="2"/>
    </w:p>
    <w:p w:rsidR="004660B5" w:rsidRDefault="004660B5" w:rsidP="004660B5">
      <w:pPr>
        <w:widowControl w:val="0"/>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sz w:val="24"/>
          <w:szCs w:val="24"/>
        </w:rPr>
        <w:t>se smatra nalaz jasno ograničenih citoplazmatskih vakuola. Histološki, uniformne okruglaste ili poliedarne ćelije kod ovog tumora ponekad je teško razlikovati od ćelija limfoma, posebno kada se CTVT javi u eksragenitalnom položaju (Aleksić – Kovačević, 2011).</w:t>
      </w: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133350</wp:posOffset>
            </wp:positionH>
            <wp:positionV relativeFrom="paragraph">
              <wp:posOffset>399415</wp:posOffset>
            </wp:positionV>
            <wp:extent cx="5743575" cy="1857375"/>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43575" cy="1857375"/>
                    </a:xfrm>
                    <a:prstGeom prst="rect">
                      <a:avLst/>
                    </a:prstGeom>
                    <a:noFill/>
                  </pic:spPr>
                </pic:pic>
              </a:graphicData>
            </a:graphic>
          </wp:anchor>
        </w:drawing>
      </w: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9"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39" w:lineRule="auto"/>
        <w:ind w:left="1360"/>
        <w:rPr>
          <w:rFonts w:ascii="Times New Roman" w:hAnsi="Times New Roman" w:cs="Times New Roman"/>
          <w:sz w:val="24"/>
          <w:szCs w:val="24"/>
        </w:rPr>
      </w:pPr>
      <w:r>
        <w:rPr>
          <w:rFonts w:ascii="Times New Roman" w:hAnsi="Times New Roman" w:cs="Times New Roman"/>
          <w:sz w:val="20"/>
          <w:szCs w:val="20"/>
        </w:rPr>
        <w:t>Slike 5 i 6: Citološki nalaz karakterističnih ćelija transmisivnog veneričnog tumora</w:t>
      </w: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305" w:lineRule="exact"/>
        <w:rPr>
          <w:rFonts w:ascii="Times New Roman" w:hAnsi="Times New Roman" w:cs="Times New Roman"/>
          <w:sz w:val="24"/>
          <w:szCs w:val="24"/>
        </w:rPr>
      </w:pPr>
    </w:p>
    <w:p w:rsidR="004660B5" w:rsidRDefault="004660B5" w:rsidP="004660B5">
      <w:pPr>
        <w:widowControl w:val="0"/>
        <w:overflowPunct w:val="0"/>
        <w:autoSpaceDE w:val="0"/>
        <w:autoSpaceDN w:val="0"/>
        <w:adjustRightInd w:val="0"/>
        <w:spacing w:after="0" w:line="342" w:lineRule="auto"/>
        <w:jc w:val="both"/>
        <w:rPr>
          <w:rFonts w:ascii="Times New Roman" w:hAnsi="Times New Roman" w:cs="Times New Roman"/>
          <w:sz w:val="24"/>
          <w:szCs w:val="24"/>
        </w:rPr>
      </w:pPr>
      <w:r>
        <w:rPr>
          <w:rFonts w:ascii="Times New Roman" w:hAnsi="Times New Roman" w:cs="Times New Roman"/>
          <w:sz w:val="24"/>
          <w:szCs w:val="24"/>
        </w:rPr>
        <w:t>Zbog svog karakterističnog izgleda na citološkim preparatima, sama citologija kao metoda je dovoljna za sigurnu dijagnozu ovog tumora uzimajući u obzir i nalaz izraslina na polnim organima mužjaka i ženki. Diferencijalno dijagnostički u obzir mogu da dođu i drugi “round cell” tumori kao što su limfomi, mastocitomi, tumori plazma ćelija, histiocitomi i melanomi.</w:t>
      </w:r>
    </w:p>
    <w:p w:rsidR="004660B5" w:rsidRDefault="004660B5" w:rsidP="004660B5">
      <w:pPr>
        <w:widowControl w:val="0"/>
        <w:autoSpaceDE w:val="0"/>
        <w:autoSpaceDN w:val="0"/>
        <w:adjustRightInd w:val="0"/>
        <w:spacing w:after="0" w:line="283" w:lineRule="exact"/>
        <w:rPr>
          <w:rFonts w:ascii="Times New Roman" w:hAnsi="Times New Roman" w:cs="Times New Roman"/>
          <w:sz w:val="24"/>
          <w:szCs w:val="24"/>
        </w:rPr>
      </w:pPr>
    </w:p>
    <w:p w:rsidR="004660B5" w:rsidRDefault="004660B5" w:rsidP="004660B5">
      <w:pPr>
        <w:widowControl w:val="0"/>
        <w:overflowPunct w:val="0"/>
        <w:autoSpaceDE w:val="0"/>
        <w:autoSpaceDN w:val="0"/>
        <w:adjustRightInd w:val="0"/>
        <w:spacing w:after="0" w:line="310" w:lineRule="auto"/>
        <w:jc w:val="both"/>
        <w:rPr>
          <w:rFonts w:ascii="Times New Roman" w:hAnsi="Times New Roman" w:cs="Times New Roman"/>
          <w:sz w:val="24"/>
          <w:szCs w:val="24"/>
        </w:rPr>
      </w:pPr>
      <w:r>
        <w:rPr>
          <w:rFonts w:ascii="Times New Roman" w:hAnsi="Times New Roman" w:cs="Times New Roman"/>
          <w:sz w:val="24"/>
          <w:szCs w:val="24"/>
        </w:rPr>
        <w:t>Kompletna krvna slika, biohemijski profil i analiza urina ne pokazuju specifične promene ( Thamm, 2007.).</w:t>
      </w: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374"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TERAPIJA</w:t>
      </w:r>
    </w:p>
    <w:p w:rsidR="004660B5" w:rsidRDefault="004660B5" w:rsidP="004660B5">
      <w:pPr>
        <w:widowControl w:val="0"/>
        <w:autoSpaceDE w:val="0"/>
        <w:autoSpaceDN w:val="0"/>
        <w:adjustRightInd w:val="0"/>
        <w:spacing w:after="0" w:line="301" w:lineRule="exact"/>
        <w:rPr>
          <w:rFonts w:ascii="Times New Roman" w:hAnsi="Times New Roman" w:cs="Times New Roman"/>
          <w:sz w:val="24"/>
          <w:szCs w:val="24"/>
        </w:rPr>
      </w:pPr>
    </w:p>
    <w:p w:rsidR="004660B5" w:rsidRDefault="004660B5" w:rsidP="004660B5">
      <w:pPr>
        <w:widowControl w:val="0"/>
        <w:overflowPunct w:val="0"/>
        <w:autoSpaceDE w:val="0"/>
        <w:autoSpaceDN w:val="0"/>
        <w:adjustRightInd w:val="0"/>
        <w:spacing w:after="0" w:line="327" w:lineRule="auto"/>
        <w:ind w:firstLine="720"/>
        <w:jc w:val="both"/>
        <w:rPr>
          <w:rFonts w:ascii="Times New Roman" w:hAnsi="Times New Roman" w:cs="Times New Roman"/>
          <w:sz w:val="24"/>
          <w:szCs w:val="24"/>
        </w:rPr>
      </w:pPr>
      <w:r>
        <w:rPr>
          <w:rFonts w:ascii="Times New Roman" w:hAnsi="Times New Roman" w:cs="Times New Roman"/>
          <w:sz w:val="24"/>
          <w:szCs w:val="24"/>
        </w:rPr>
        <w:t>Kao lek izbora u lečenju TVT-a koristi se citostatik vinkristin i.v. u dozi od 0,5 – 0,75 ml/m</w:t>
      </w:r>
      <w:r>
        <w:rPr>
          <w:rFonts w:ascii="Times New Roman" w:hAnsi="Times New Roman" w:cs="Times New Roman"/>
          <w:sz w:val="32"/>
          <w:szCs w:val="32"/>
          <w:vertAlign w:val="superscript"/>
        </w:rPr>
        <w:t>3</w:t>
      </w:r>
      <w:r>
        <w:rPr>
          <w:rFonts w:ascii="Times New Roman" w:hAnsi="Times New Roman" w:cs="Times New Roman"/>
          <w:sz w:val="24"/>
          <w:szCs w:val="24"/>
        </w:rPr>
        <w:t xml:space="preserve"> jednom nedeljno u 3 – 6 tretmana. Vinkristin je relativno siguran, jeftin lek i obezbeđuje kompletan i dugotrajan odgovor kod preko 90% - 95% tretiranih pasa. Radioterapija je takođe pokazala efikasnost u lečenju TVT-a i može se smatrati korisnom zamenom za hemoterapiju kod tumora koji pokazuju rezistenciju na sistemske citostatike ili ako su tumori lokalizovani na posebnim mestima (mozak, testisi, oko).</w:t>
      </w: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23" w:lineRule="exact"/>
        <w:rPr>
          <w:rFonts w:ascii="Times New Roman" w:hAnsi="Times New Roman" w:cs="Times New Roman"/>
          <w:sz w:val="24"/>
          <w:szCs w:val="24"/>
        </w:rPr>
      </w:pPr>
    </w:p>
    <w:p w:rsidR="004660B5" w:rsidRDefault="004660B5" w:rsidP="004660B5">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4</w:t>
      </w:r>
    </w:p>
    <w:p w:rsidR="004660B5" w:rsidRDefault="004660B5" w:rsidP="004660B5">
      <w:pPr>
        <w:widowControl w:val="0"/>
        <w:autoSpaceDE w:val="0"/>
        <w:autoSpaceDN w:val="0"/>
        <w:adjustRightInd w:val="0"/>
        <w:spacing w:after="0" w:line="240" w:lineRule="auto"/>
        <w:rPr>
          <w:rFonts w:ascii="Times New Roman" w:hAnsi="Times New Roman" w:cs="Times New Roman"/>
          <w:sz w:val="24"/>
          <w:szCs w:val="24"/>
        </w:rPr>
        <w:sectPr w:rsidR="004660B5">
          <w:pgSz w:w="12240" w:h="15840"/>
          <w:pgMar w:top="1440" w:right="1440" w:bottom="1440" w:left="1440" w:header="720" w:footer="720" w:gutter="0"/>
          <w:cols w:space="720" w:equalWidth="0">
            <w:col w:w="9360"/>
          </w:cols>
          <w:noEndnote/>
        </w:sectPr>
      </w:pPr>
    </w:p>
    <w:p w:rsidR="004660B5" w:rsidRDefault="004660B5" w:rsidP="004660B5">
      <w:pPr>
        <w:widowControl w:val="0"/>
        <w:autoSpaceDE w:val="0"/>
        <w:autoSpaceDN w:val="0"/>
        <w:adjustRightInd w:val="0"/>
        <w:spacing w:after="0" w:line="51" w:lineRule="exact"/>
        <w:rPr>
          <w:rFonts w:ascii="Times New Roman" w:hAnsi="Times New Roman" w:cs="Times New Roman"/>
          <w:sz w:val="24"/>
          <w:szCs w:val="24"/>
        </w:rPr>
      </w:pPr>
      <w:bookmarkStart w:id="3" w:name="page5"/>
      <w:bookmarkEnd w:id="3"/>
    </w:p>
    <w:p w:rsidR="004660B5" w:rsidRDefault="004660B5" w:rsidP="004660B5">
      <w:pPr>
        <w:widowControl w:val="0"/>
        <w:overflowPunct w:val="0"/>
        <w:autoSpaceDE w:val="0"/>
        <w:autoSpaceDN w:val="0"/>
        <w:adjustRightInd w:val="0"/>
        <w:spacing w:after="0" w:line="342" w:lineRule="auto"/>
        <w:jc w:val="both"/>
        <w:rPr>
          <w:rFonts w:ascii="Times New Roman" w:hAnsi="Times New Roman" w:cs="Times New Roman"/>
          <w:sz w:val="24"/>
          <w:szCs w:val="24"/>
        </w:rPr>
      </w:pPr>
      <w:r>
        <w:rPr>
          <w:rFonts w:ascii="Times New Roman" w:hAnsi="Times New Roman" w:cs="Times New Roman"/>
          <w:sz w:val="24"/>
          <w:szCs w:val="24"/>
        </w:rPr>
        <w:t>Hirurgija je korišćena kod solitarnih ili metastatskih lezija i može biti korisna u pojedinačnim slučajevima. Međutim sa stopom recidiviranja od oko 30% do 75% i boljom efikasnošću drugih terapijsih sredstava, hirurška ekscizija je manje atraktivan alternativni tretman. Ostale sporadično opisane terapije uljučuju modulatore biološkog odgovora, piroksikam i kriohirurgiju (Thamm,</w:t>
      </w:r>
    </w:p>
    <w:p w:rsidR="004660B5" w:rsidRDefault="004660B5" w:rsidP="004660B5">
      <w:pPr>
        <w:widowControl w:val="0"/>
        <w:autoSpaceDE w:val="0"/>
        <w:autoSpaceDN w:val="0"/>
        <w:adjustRightInd w:val="0"/>
        <w:spacing w:after="0" w:line="25"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2007.)</w:t>
      </w:r>
    </w:p>
    <w:p w:rsidR="004660B5" w:rsidRDefault="004660B5" w:rsidP="004660B5">
      <w:pPr>
        <w:widowControl w:val="0"/>
        <w:autoSpaceDE w:val="0"/>
        <w:autoSpaceDN w:val="0"/>
        <w:adjustRightInd w:val="0"/>
        <w:spacing w:after="0" w:line="338"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PROGNOZA</w:t>
      </w:r>
    </w:p>
    <w:p w:rsidR="004660B5" w:rsidRDefault="004660B5" w:rsidP="004660B5">
      <w:pPr>
        <w:widowControl w:val="0"/>
        <w:autoSpaceDE w:val="0"/>
        <w:autoSpaceDN w:val="0"/>
        <w:adjustRightInd w:val="0"/>
        <w:spacing w:after="0" w:line="298" w:lineRule="exact"/>
        <w:rPr>
          <w:rFonts w:ascii="Times New Roman" w:hAnsi="Times New Roman" w:cs="Times New Roman"/>
          <w:sz w:val="24"/>
          <w:szCs w:val="24"/>
        </w:rPr>
      </w:pPr>
    </w:p>
    <w:p w:rsidR="004660B5" w:rsidRDefault="004660B5" w:rsidP="004660B5">
      <w:pPr>
        <w:widowControl w:val="0"/>
        <w:overflowPunct w:val="0"/>
        <w:autoSpaceDE w:val="0"/>
        <w:autoSpaceDN w:val="0"/>
        <w:adjustRightInd w:val="0"/>
        <w:spacing w:after="0" w:line="334" w:lineRule="auto"/>
        <w:ind w:firstLine="720"/>
        <w:jc w:val="both"/>
        <w:rPr>
          <w:rFonts w:ascii="Times New Roman" w:hAnsi="Times New Roman" w:cs="Times New Roman"/>
          <w:sz w:val="24"/>
          <w:szCs w:val="24"/>
        </w:rPr>
      </w:pPr>
      <w:r>
        <w:rPr>
          <w:rFonts w:ascii="Times New Roman" w:hAnsi="Times New Roman" w:cs="Times New Roman"/>
          <w:sz w:val="24"/>
          <w:szCs w:val="24"/>
        </w:rPr>
        <w:t>Obzirom da se kod većine imunokompetentnih pasa javlja spontana regresija tumora i da je velika stopa izlečenja pasa tretiranih vinkristinom ili konzervativnom radioterapijom, prognoza ovog oboljenja može da se smatra veoma dobrom ( Thamm, 2007).</w:t>
      </w: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67"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LITERATURA:</w:t>
      </w: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17" w:lineRule="exact"/>
        <w:rPr>
          <w:rFonts w:ascii="Times New Roman" w:hAnsi="Times New Roman" w:cs="Times New Roman"/>
          <w:sz w:val="24"/>
          <w:szCs w:val="24"/>
        </w:rPr>
      </w:pPr>
    </w:p>
    <w:p w:rsidR="004660B5" w:rsidRDefault="004660B5" w:rsidP="004660B5">
      <w:pPr>
        <w:widowControl w:val="0"/>
        <w:numPr>
          <w:ilvl w:val="0"/>
          <w:numId w:val="1"/>
        </w:numPr>
        <w:overflowPunct w:val="0"/>
        <w:autoSpaceDE w:val="0"/>
        <w:autoSpaceDN w:val="0"/>
        <w:adjustRightInd w:val="0"/>
        <w:spacing w:after="0" w:line="310" w:lineRule="auto"/>
        <w:jc w:val="both"/>
        <w:rPr>
          <w:rFonts w:ascii="Times New Roman" w:hAnsi="Times New Roman" w:cs="Times New Roman"/>
          <w:sz w:val="24"/>
          <w:szCs w:val="24"/>
        </w:rPr>
      </w:pPr>
      <w:r>
        <w:rPr>
          <w:rFonts w:ascii="Times New Roman" w:hAnsi="Times New Roman" w:cs="Times New Roman"/>
          <w:sz w:val="24"/>
          <w:szCs w:val="24"/>
        </w:rPr>
        <w:t xml:space="preserve">Aleksić – Kovačević S. (2011) Transmisivni venerični tumori kod životinja i prognostički parametri, Veterinarski žurnal Republike Srpske vol.6, 12 – 15 </w:t>
      </w:r>
    </w:p>
    <w:p w:rsidR="004660B5" w:rsidRDefault="004660B5" w:rsidP="004660B5">
      <w:pPr>
        <w:widowControl w:val="0"/>
        <w:autoSpaceDE w:val="0"/>
        <w:autoSpaceDN w:val="0"/>
        <w:adjustRightInd w:val="0"/>
        <w:spacing w:after="0" w:line="314" w:lineRule="exact"/>
        <w:rPr>
          <w:rFonts w:ascii="Times New Roman" w:hAnsi="Times New Roman" w:cs="Times New Roman"/>
          <w:sz w:val="24"/>
          <w:szCs w:val="24"/>
        </w:rPr>
      </w:pPr>
    </w:p>
    <w:p w:rsidR="004660B5" w:rsidRDefault="004660B5" w:rsidP="004660B5">
      <w:pPr>
        <w:widowControl w:val="0"/>
        <w:numPr>
          <w:ilvl w:val="0"/>
          <w:numId w:val="1"/>
        </w:numPr>
        <w:overflowPunct w:val="0"/>
        <w:autoSpaceDE w:val="0"/>
        <w:autoSpaceDN w:val="0"/>
        <w:adjustRightInd w:val="0"/>
        <w:spacing w:after="0" w:line="463" w:lineRule="auto"/>
        <w:jc w:val="both"/>
        <w:rPr>
          <w:rFonts w:ascii="Times New Roman" w:hAnsi="Times New Roman" w:cs="Times New Roman"/>
          <w:sz w:val="24"/>
          <w:szCs w:val="24"/>
        </w:rPr>
      </w:pPr>
      <w:r>
        <w:rPr>
          <w:rFonts w:ascii="Times New Roman" w:hAnsi="Times New Roman" w:cs="Times New Roman"/>
          <w:sz w:val="24"/>
          <w:szCs w:val="24"/>
        </w:rPr>
        <w:t xml:space="preserve">Manning P. J., Martin P.D. (1970) Metastasis of Canine Transmissible Venereal Tumor to the Adenohypophysis; From the Department of Laboratory Animal Medicine, The Bowman Gray School of Medicine, Wake Forest University, Winston-Salem, North Carolina; </w:t>
      </w:r>
    </w:p>
    <w:p w:rsidR="004660B5" w:rsidRDefault="004660B5" w:rsidP="004660B5">
      <w:pPr>
        <w:widowControl w:val="0"/>
        <w:autoSpaceDE w:val="0"/>
        <w:autoSpaceDN w:val="0"/>
        <w:adjustRightInd w:val="0"/>
        <w:spacing w:after="0" w:line="219" w:lineRule="exact"/>
        <w:rPr>
          <w:rFonts w:ascii="Times New Roman" w:hAnsi="Times New Roman" w:cs="Times New Roman"/>
          <w:sz w:val="24"/>
          <w:szCs w:val="24"/>
        </w:rPr>
      </w:pPr>
    </w:p>
    <w:p w:rsidR="004660B5" w:rsidRDefault="004660B5" w:rsidP="004660B5">
      <w:pPr>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Withrow S., Vail D.(2007) Withrow and Macewen’s small animal oncology, In. Thamm </w:t>
      </w:r>
    </w:p>
    <w:p w:rsidR="004660B5" w:rsidRDefault="004660B5" w:rsidP="004660B5">
      <w:pPr>
        <w:widowControl w:val="0"/>
        <w:autoSpaceDE w:val="0"/>
        <w:autoSpaceDN w:val="0"/>
        <w:adjustRightInd w:val="0"/>
        <w:spacing w:after="0" w:line="279"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 editor. Canine Transmissible Veneral Tumor, Missouri:Saunders ltd;  799 – 803</w:t>
      </w: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75"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4.  www.vetnext.com</w:t>
      </w: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Autor: </w:t>
      </w:r>
      <w:r>
        <w:rPr>
          <w:rFonts w:ascii="Times New Roman" w:hAnsi="Times New Roman" w:cs="Times New Roman"/>
          <w:sz w:val="24"/>
          <w:szCs w:val="24"/>
        </w:rPr>
        <w:t>Oliver Stevanović</w:t>
      </w:r>
      <w:r>
        <w:rPr>
          <w:rFonts w:ascii="Times New Roman" w:hAnsi="Times New Roman" w:cs="Times New Roman"/>
          <w:b/>
          <w:bCs/>
          <w:sz w:val="24"/>
          <w:szCs w:val="24"/>
        </w:rPr>
        <w:t xml:space="preserve"> </w:t>
      </w:r>
      <w:r>
        <w:rPr>
          <w:rFonts w:ascii="Times New Roman" w:hAnsi="Times New Roman" w:cs="Times New Roman"/>
          <w:sz w:val="24"/>
          <w:szCs w:val="24"/>
        </w:rPr>
        <w:t>i Damjan Radoja</w:t>
      </w: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200" w:lineRule="exact"/>
        <w:rPr>
          <w:rFonts w:ascii="Times New Roman" w:hAnsi="Times New Roman" w:cs="Times New Roman"/>
          <w:sz w:val="24"/>
          <w:szCs w:val="24"/>
        </w:rPr>
      </w:pPr>
    </w:p>
    <w:p w:rsidR="004660B5" w:rsidRDefault="004660B5" w:rsidP="004660B5">
      <w:pPr>
        <w:widowControl w:val="0"/>
        <w:autoSpaceDE w:val="0"/>
        <w:autoSpaceDN w:val="0"/>
        <w:adjustRightInd w:val="0"/>
        <w:spacing w:after="0" w:line="363" w:lineRule="exact"/>
        <w:rPr>
          <w:rFonts w:ascii="Times New Roman" w:hAnsi="Times New Roman" w:cs="Times New Roman"/>
          <w:sz w:val="24"/>
          <w:szCs w:val="24"/>
        </w:rPr>
      </w:pPr>
    </w:p>
    <w:p w:rsidR="00510555" w:rsidRDefault="00FE3D0F" w:rsidP="00510555">
      <w:pPr>
        <w:jc w:val="center"/>
        <w:rPr>
          <w:sz w:val="28"/>
          <w:szCs w:val="28"/>
        </w:rPr>
      </w:pPr>
      <w:hyperlink r:id="rId11" w:history="1">
        <w:r w:rsidR="00510555">
          <w:rPr>
            <w:rStyle w:val="Hyperlink"/>
            <w:sz w:val="28"/>
            <w:szCs w:val="28"/>
          </w:rPr>
          <w:t>www.</w:t>
        </w:r>
        <w:r w:rsidR="003C2D85">
          <w:rPr>
            <w:rStyle w:val="Hyperlink"/>
            <w:sz w:val="28"/>
            <w:szCs w:val="28"/>
          </w:rPr>
          <w:t>maturski.org</w:t>
        </w:r>
      </w:hyperlink>
    </w:p>
    <w:p w:rsidR="004660B5" w:rsidRDefault="004660B5" w:rsidP="004660B5">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5</w:t>
      </w:r>
    </w:p>
    <w:p w:rsidR="009E671D" w:rsidRDefault="009E671D"/>
    <w:sectPr w:rsidR="009E671D" w:rsidSect="005026EB">
      <w:pgSz w:w="12240" w:h="15840"/>
      <w:pgMar w:top="1440" w:right="1440" w:bottom="1440" w:left="1440" w:header="720" w:footer="720" w:gutter="0"/>
      <w:cols w:space="720" w:equalWidth="0">
        <w:col w:w="93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D85" w:rsidRDefault="003C2D85" w:rsidP="003C2D85">
      <w:pPr>
        <w:spacing w:after="0" w:line="240" w:lineRule="auto"/>
      </w:pPr>
      <w:r>
        <w:separator/>
      </w:r>
    </w:p>
  </w:endnote>
  <w:endnote w:type="continuationSeparator" w:id="1">
    <w:p w:rsidR="003C2D85" w:rsidRDefault="003C2D85" w:rsidP="003C2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D85" w:rsidRDefault="003C2D85" w:rsidP="003C2D85">
      <w:pPr>
        <w:spacing w:after="0" w:line="240" w:lineRule="auto"/>
      </w:pPr>
      <w:r>
        <w:separator/>
      </w:r>
    </w:p>
  </w:footnote>
  <w:footnote w:type="continuationSeparator" w:id="1">
    <w:p w:rsidR="003C2D85" w:rsidRDefault="003C2D85" w:rsidP="003C2D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4660B5"/>
    <w:rsid w:val="0008320D"/>
    <w:rsid w:val="003C2D85"/>
    <w:rsid w:val="004660B5"/>
    <w:rsid w:val="005026EB"/>
    <w:rsid w:val="00510555"/>
    <w:rsid w:val="009E671D"/>
    <w:rsid w:val="00E62E3E"/>
    <w:rsid w:val="00FE3D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6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10555"/>
    <w:rPr>
      <w:color w:val="0000FF"/>
      <w:u w:val="single"/>
    </w:rPr>
  </w:style>
  <w:style w:type="paragraph" w:styleId="Header">
    <w:name w:val="header"/>
    <w:basedOn w:val="Normal"/>
    <w:link w:val="HeaderChar"/>
    <w:uiPriority w:val="99"/>
    <w:semiHidden/>
    <w:unhideWhenUsed/>
    <w:rsid w:val="003C2D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2D85"/>
  </w:style>
  <w:style w:type="paragraph" w:styleId="Footer">
    <w:name w:val="footer"/>
    <w:basedOn w:val="Normal"/>
    <w:link w:val="FooterChar"/>
    <w:uiPriority w:val="99"/>
    <w:semiHidden/>
    <w:unhideWhenUsed/>
    <w:rsid w:val="003C2D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2D85"/>
  </w:style>
</w:styles>
</file>

<file path=word/webSettings.xml><?xml version="1.0" encoding="utf-8"?>
<w:webSettings xmlns:r="http://schemas.openxmlformats.org/officeDocument/2006/relationships" xmlns:w="http://schemas.openxmlformats.org/wordprocessingml/2006/main">
  <w:divs>
    <w:div w:id="1592854196">
      <w:bodyDiv w:val="1"/>
      <w:marLeft w:val="0"/>
      <w:marRight w:val="0"/>
      <w:marTop w:val="0"/>
      <w:marBottom w:val="0"/>
      <w:divBdr>
        <w:top w:val="none" w:sz="0" w:space="0" w:color="auto"/>
        <w:left w:val="none" w:sz="0" w:space="0" w:color="auto"/>
        <w:bottom w:val="none" w:sz="0" w:space="0" w:color="auto"/>
        <w:right w:val="none" w:sz="0" w:space="0" w:color="auto"/>
      </w:divBdr>
    </w:div>
    <w:div w:id="171928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urski.or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Transmisivni venerični tumor </dc:title>
  <dc:subject/>
  <dc:creator>BsR</dc:creator>
  <cp:keywords/>
  <dc:description/>
  <cp:lastModifiedBy>voodoo</cp:lastModifiedBy>
  <cp:revision>2</cp:revision>
  <dcterms:created xsi:type="dcterms:W3CDTF">2014-01-07T23:05:00Z</dcterms:created>
  <dcterms:modified xsi:type="dcterms:W3CDTF">2014-01-07T23:05:00Z</dcterms:modified>
</cp:coreProperties>
</file>